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D9" w:rsidRPr="008A4A48" w:rsidRDefault="001B5BD9" w:rsidP="001B5BD9">
      <w:pPr>
        <w:rPr>
          <w:rFonts w:eastAsia="Arial" w:cs="Arial"/>
        </w:rPr>
      </w:pPr>
      <w:r>
        <w:rPr>
          <w:rFonts w:eastAsia="Arial" w:cs="Arial"/>
        </w:rPr>
        <w:t xml:space="preserve">Anexo 2 – </w:t>
      </w:r>
      <w:proofErr w:type="spellStart"/>
      <w:r>
        <w:rPr>
          <w:rFonts w:eastAsia="Arial" w:cs="Arial"/>
        </w:rPr>
        <w:t>Barema</w:t>
      </w:r>
      <w:proofErr w:type="spellEnd"/>
    </w:p>
    <w:tbl>
      <w:tblPr>
        <w:tblStyle w:val="TableNormal"/>
        <w:tblW w:w="1077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819"/>
        <w:gridCol w:w="1139"/>
        <w:gridCol w:w="551"/>
        <w:gridCol w:w="1276"/>
        <w:gridCol w:w="2262"/>
      </w:tblGrid>
      <w:tr w:rsidR="001B5BD9" w:rsidTr="001B5BD9">
        <w:trPr>
          <w:trHeight w:val="475"/>
        </w:trPr>
        <w:tc>
          <w:tcPr>
            <w:tcW w:w="726" w:type="dxa"/>
            <w:shd w:val="clear" w:color="auto" w:fill="D9D9D9"/>
          </w:tcPr>
          <w:p w:rsidR="001B5BD9" w:rsidRDefault="001B5BD9" w:rsidP="00946BFD">
            <w:pPr>
              <w:pStyle w:val="TableParagraph"/>
              <w:spacing w:before="80"/>
              <w:ind w:left="2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ITEM</w:t>
            </w:r>
          </w:p>
        </w:tc>
        <w:tc>
          <w:tcPr>
            <w:tcW w:w="4819" w:type="dxa"/>
            <w:shd w:val="clear" w:color="auto" w:fill="D9D9D9"/>
          </w:tcPr>
          <w:p w:rsidR="001B5BD9" w:rsidRDefault="001B5BD9" w:rsidP="00946BFD">
            <w:pPr>
              <w:pStyle w:val="TableParagraph"/>
              <w:tabs>
                <w:tab w:val="left" w:pos="4252"/>
                <w:tab w:val="left" w:pos="5528"/>
              </w:tabs>
              <w:spacing w:before="59"/>
              <w:ind w:left="142" w:right="1468"/>
              <w:jc w:val="center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sz w:val="17"/>
              </w:rPr>
              <w:t>SUB-ITEM</w:t>
            </w:r>
            <w:proofErr w:type="gramEnd"/>
          </w:p>
        </w:tc>
        <w:tc>
          <w:tcPr>
            <w:tcW w:w="1139" w:type="dxa"/>
            <w:shd w:val="clear" w:color="auto" w:fill="D9D9D9"/>
          </w:tcPr>
          <w:p w:rsidR="001B5BD9" w:rsidRDefault="001B5BD9" w:rsidP="00946BFD">
            <w:pPr>
              <w:pStyle w:val="TableParagraph"/>
              <w:spacing w:before="80"/>
              <w:ind w:left="203" w:right="17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Pontu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z w:val="17"/>
              </w:rPr>
              <w:t>ção</w:t>
            </w:r>
          </w:p>
        </w:tc>
        <w:tc>
          <w:tcPr>
            <w:tcW w:w="551" w:type="dxa"/>
            <w:shd w:val="clear" w:color="auto" w:fill="D9D9D9"/>
          </w:tcPr>
          <w:p w:rsidR="001B5BD9" w:rsidRDefault="001B5BD9" w:rsidP="00946BFD">
            <w:pPr>
              <w:pStyle w:val="TableParagraph"/>
              <w:spacing w:before="80"/>
              <w:ind w:left="2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Qt.</w:t>
            </w:r>
          </w:p>
        </w:tc>
        <w:tc>
          <w:tcPr>
            <w:tcW w:w="1276" w:type="dxa"/>
            <w:shd w:val="clear" w:color="auto" w:fill="D9D9D9"/>
          </w:tcPr>
          <w:p w:rsidR="001B5BD9" w:rsidRDefault="001B5BD9" w:rsidP="00946BFD">
            <w:pPr>
              <w:pStyle w:val="TableParagraph"/>
              <w:spacing w:line="178" w:lineRule="exact"/>
              <w:ind w:left="162" w:right="15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Pontuação</w:t>
            </w:r>
          </w:p>
          <w:p w:rsidR="001B5BD9" w:rsidRDefault="001B5BD9" w:rsidP="00946BFD">
            <w:pPr>
              <w:pStyle w:val="TableParagraph"/>
              <w:spacing w:line="194" w:lineRule="exact"/>
              <w:ind w:left="158" w:right="151"/>
              <w:jc w:val="center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sz w:val="17"/>
              </w:rPr>
              <w:t>total</w:t>
            </w:r>
            <w:proofErr w:type="gramEnd"/>
          </w:p>
        </w:tc>
        <w:tc>
          <w:tcPr>
            <w:tcW w:w="2262" w:type="dxa"/>
            <w:shd w:val="clear" w:color="auto" w:fill="D9D9D9"/>
          </w:tcPr>
          <w:p w:rsidR="001B5BD9" w:rsidRDefault="001B5BD9" w:rsidP="00946BFD">
            <w:pPr>
              <w:pStyle w:val="TableParagraph"/>
              <w:spacing w:line="178" w:lineRule="exact"/>
              <w:ind w:left="220" w:right="2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Ordem</w:t>
            </w:r>
          </w:p>
          <w:p w:rsidR="001B5BD9" w:rsidRDefault="001B5BD9" w:rsidP="00946BFD">
            <w:pPr>
              <w:pStyle w:val="TableParagraph"/>
              <w:spacing w:line="194" w:lineRule="exact"/>
              <w:ind w:left="226" w:right="215"/>
              <w:jc w:val="center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sz w:val="17"/>
              </w:rPr>
              <w:t>documental</w:t>
            </w:r>
            <w:proofErr w:type="gramEnd"/>
          </w:p>
        </w:tc>
      </w:tr>
      <w:tr w:rsidR="001B5BD9" w:rsidTr="001B5BD9">
        <w:trPr>
          <w:trHeight w:val="239"/>
        </w:trPr>
        <w:tc>
          <w:tcPr>
            <w:tcW w:w="726" w:type="dxa"/>
            <w:vMerge w:val="restart"/>
            <w:tcBorders>
              <w:left w:val="nil"/>
            </w:tcBorders>
            <w:textDirection w:val="btLr"/>
          </w:tcPr>
          <w:p w:rsidR="001B5BD9" w:rsidRDefault="001B5BD9" w:rsidP="00946BFD">
            <w:pPr>
              <w:pStyle w:val="TableParagraph"/>
              <w:rPr>
                <w:sz w:val="18"/>
              </w:rPr>
            </w:pPr>
          </w:p>
          <w:p w:rsidR="001B5BD9" w:rsidRDefault="001B5BD9" w:rsidP="00946BFD">
            <w:pPr>
              <w:pStyle w:val="TableParagraph"/>
              <w:spacing w:before="6"/>
              <w:rPr>
                <w:sz w:val="17"/>
              </w:rPr>
            </w:pPr>
          </w:p>
          <w:p w:rsidR="001B5BD9" w:rsidRDefault="001B5BD9" w:rsidP="00946BFD">
            <w:pPr>
              <w:pStyle w:val="TableParagraph"/>
              <w:spacing w:before="1"/>
              <w:ind w:left="218"/>
              <w:rPr>
                <w:sz w:val="17"/>
              </w:rPr>
            </w:pPr>
            <w:proofErr w:type="gramStart"/>
            <w:r>
              <w:rPr>
                <w:sz w:val="17"/>
              </w:rPr>
              <w:t>1.</w:t>
            </w:r>
            <w:proofErr w:type="gramEnd"/>
            <w:r>
              <w:rPr>
                <w:sz w:val="17"/>
              </w:rPr>
              <w:t>Formação</w:t>
            </w: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185" w:lineRule="exact"/>
              <w:ind w:left="174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Mestrado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acadêmico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Comitê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Biodiversid</w:t>
            </w:r>
            <w:r>
              <w:rPr>
                <w:sz w:val="17"/>
              </w:rPr>
              <w:t>a</w:t>
            </w:r>
            <w:r>
              <w:rPr>
                <w:sz w:val="17"/>
              </w:rPr>
              <w:t>de/CAPES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line="185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5,0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ind w:hanging="15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429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1.2.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Mestrado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afim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Mestrado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profissional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Biodiversidade/CAPES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230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187" w:lineRule="exact"/>
              <w:ind w:left="174"/>
              <w:rPr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Especialização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Ciências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Biológicas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afim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line="187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241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187" w:lineRule="exact"/>
              <w:ind w:left="174"/>
              <w:rPr>
                <w:sz w:val="17"/>
              </w:rPr>
            </w:pPr>
            <w:r>
              <w:rPr>
                <w:sz w:val="17"/>
              </w:rPr>
              <w:t>1.4.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Certificado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curso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graduação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pleno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line="187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230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185" w:lineRule="exact"/>
              <w:ind w:left="174"/>
              <w:rPr>
                <w:sz w:val="17"/>
              </w:rPr>
            </w:pPr>
            <w:r>
              <w:rPr>
                <w:sz w:val="17"/>
              </w:rPr>
              <w:t>1.5.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Certificado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curso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nível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line="185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234"/>
        </w:trPr>
        <w:tc>
          <w:tcPr>
            <w:tcW w:w="8511" w:type="dxa"/>
            <w:gridSpan w:val="5"/>
          </w:tcPr>
          <w:p w:rsidR="001B5BD9" w:rsidRDefault="001B5BD9" w:rsidP="00946BFD">
            <w:pPr>
              <w:pStyle w:val="TableParagraph"/>
              <w:spacing w:line="185" w:lineRule="exact"/>
              <w:ind w:left="1384" w:right="1362"/>
              <w:jc w:val="center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SUB-TOTAL</w:t>
            </w:r>
            <w:proofErr w:type="gramEnd"/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Formação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(padronizado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0-10,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sendo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maior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pontu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z w:val="17"/>
              </w:rPr>
              <w:t>ção)</w:t>
            </w: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333"/>
        </w:trPr>
        <w:tc>
          <w:tcPr>
            <w:tcW w:w="726" w:type="dxa"/>
            <w:tcBorders>
              <w:bottom w:val="nil"/>
            </w:tcBorders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Capítulo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livro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ISBN*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42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290"/>
        </w:trPr>
        <w:tc>
          <w:tcPr>
            <w:tcW w:w="726" w:type="dxa"/>
            <w:vMerge w:val="restart"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pStyle w:val="TableParagraph"/>
              <w:rPr>
                <w:sz w:val="18"/>
              </w:rPr>
            </w:pPr>
          </w:p>
          <w:p w:rsidR="001B5BD9" w:rsidRDefault="001B5BD9" w:rsidP="00946BFD">
            <w:pPr>
              <w:pStyle w:val="TableParagraph"/>
              <w:spacing w:before="6"/>
              <w:rPr>
                <w:sz w:val="17"/>
              </w:rPr>
            </w:pPr>
          </w:p>
          <w:p w:rsidR="001B5BD9" w:rsidRDefault="001B5BD9" w:rsidP="00946BFD">
            <w:pPr>
              <w:pStyle w:val="TableParagraph"/>
              <w:spacing w:before="1"/>
              <w:ind w:left="1339"/>
              <w:rPr>
                <w:sz w:val="17"/>
              </w:rPr>
            </w:pPr>
            <w:proofErr w:type="gramStart"/>
            <w:r>
              <w:rPr>
                <w:spacing w:val="-1"/>
                <w:sz w:val="17"/>
              </w:rPr>
              <w:t>2.</w:t>
            </w:r>
            <w:proofErr w:type="gramEnd"/>
            <w:r>
              <w:rPr>
                <w:spacing w:val="-1"/>
                <w:sz w:val="17"/>
              </w:rPr>
              <w:t>Produção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científica</w:t>
            </w: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187" w:lineRule="exact"/>
              <w:ind w:left="174"/>
              <w:rPr>
                <w:sz w:val="17"/>
              </w:rPr>
            </w:pPr>
            <w:r>
              <w:rPr>
                <w:sz w:val="17"/>
              </w:rPr>
              <w:t>2.2.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Livro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completo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ISBN*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18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590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ind w:left="532" w:hanging="358"/>
              <w:rPr>
                <w:sz w:val="17"/>
              </w:rPr>
            </w:pPr>
            <w:r>
              <w:rPr>
                <w:sz w:val="17"/>
              </w:rPr>
              <w:t>2.3. Primeiro autor de artigo científico publicado ou com ace</w:t>
            </w:r>
            <w:r>
              <w:rPr>
                <w:sz w:val="17"/>
              </w:rPr>
              <w:t>i</w:t>
            </w:r>
            <w:r>
              <w:rPr>
                <w:sz w:val="17"/>
              </w:rPr>
              <w:t>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definitivoem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periódico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percentil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Scopus igual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</w:p>
          <w:p w:rsidR="001B5BD9" w:rsidRDefault="001B5BD9" w:rsidP="00946BFD">
            <w:pPr>
              <w:pStyle w:val="TableParagraph"/>
              <w:spacing w:line="180" w:lineRule="exact"/>
              <w:ind w:left="532"/>
              <w:rPr>
                <w:sz w:val="17"/>
              </w:rPr>
            </w:pPr>
            <w:r>
              <w:rPr>
                <w:sz w:val="17"/>
              </w:rPr>
              <w:t>50**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128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585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191" w:lineRule="exact"/>
              <w:ind w:left="174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Coautor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artigo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científico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aceite</w:t>
            </w:r>
          </w:p>
          <w:p w:rsidR="001B5BD9" w:rsidRDefault="001B5BD9" w:rsidP="00946BFD">
            <w:pPr>
              <w:pStyle w:val="TableParagraph"/>
              <w:spacing w:before="12" w:line="220" w:lineRule="auto"/>
              <w:ind w:left="532"/>
              <w:rPr>
                <w:sz w:val="17"/>
              </w:rPr>
            </w:pPr>
            <w:proofErr w:type="gramStart"/>
            <w:r>
              <w:rPr>
                <w:sz w:val="17"/>
              </w:rPr>
              <w:t>definitivo</w:t>
            </w:r>
            <w:proofErr w:type="gramEnd"/>
            <w:r>
              <w:rPr>
                <w:sz w:val="17"/>
              </w:rPr>
              <w:t xml:space="preserve"> emperiódico com percentil Scopus igual ou superior a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50**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123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10,0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510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2.5. Primeiro autor de artigos científicos publicados ou ace</w:t>
            </w:r>
            <w:r>
              <w:rPr>
                <w:sz w:val="17"/>
              </w:rPr>
              <w:t>i</w:t>
            </w:r>
            <w:r>
              <w:rPr>
                <w:sz w:val="17"/>
              </w:rPr>
              <w:t>tos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definitivamente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periódico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percentil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Scopus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inferior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50**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5,0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510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32" w:lineRule="auto"/>
              <w:ind w:left="532" w:right="160" w:hanging="358"/>
              <w:rPr>
                <w:sz w:val="17"/>
              </w:rPr>
            </w:pPr>
            <w:r>
              <w:rPr>
                <w:sz w:val="17"/>
              </w:rPr>
              <w:t>2.6. Coautor de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artigo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científico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48"/>
                <w:sz w:val="17"/>
              </w:rPr>
              <w:t xml:space="preserve"> </w:t>
            </w:r>
            <w:r>
              <w:rPr>
                <w:sz w:val="17"/>
              </w:rPr>
              <w:t>aceito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</w:t>
            </w:r>
            <w:r>
              <w:rPr>
                <w:spacing w:val="-1"/>
                <w:sz w:val="17"/>
              </w:rPr>
              <w:t>e</w:t>
            </w:r>
            <w:r>
              <w:rPr>
                <w:spacing w:val="-1"/>
                <w:sz w:val="17"/>
              </w:rPr>
              <w:t>finitivamente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emperiódico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percentil Scopus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infer</w:t>
            </w:r>
            <w:r>
              <w:rPr>
                <w:sz w:val="17"/>
              </w:rPr>
              <w:t>i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50**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508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37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2.7.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Primeiro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resumo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anais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z w:val="17"/>
              </w:rPr>
              <w:t>ventos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nacionaise/ou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regionais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510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42" w:lineRule="auto"/>
              <w:ind w:left="532" w:right="432" w:hanging="358"/>
              <w:rPr>
                <w:sz w:val="17"/>
              </w:rPr>
            </w:pPr>
            <w:r>
              <w:rPr>
                <w:sz w:val="17"/>
              </w:rPr>
              <w:t>2.8. Coautor de resumo publicado em anais de eventos nacionais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e/ouregionais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121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511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2.9.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Primeiro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resumo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anais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eve</w:t>
            </w:r>
            <w:r>
              <w:rPr>
                <w:sz w:val="17"/>
              </w:rPr>
              <w:t>n</w:t>
            </w:r>
            <w:r>
              <w:rPr>
                <w:sz w:val="17"/>
              </w:rPr>
              <w:t>tos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internacionais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128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383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20" w:lineRule="auto"/>
              <w:ind w:left="174" w:right="160"/>
              <w:rPr>
                <w:sz w:val="17"/>
              </w:rPr>
            </w:pPr>
            <w:r>
              <w:rPr>
                <w:sz w:val="17"/>
              </w:rPr>
              <w:t>2.10.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Coautor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resumo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anais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z w:val="17"/>
              </w:rPr>
              <w:t>n</w:t>
            </w:r>
            <w:r>
              <w:rPr>
                <w:sz w:val="17"/>
              </w:rPr>
              <w:t>ternacionais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line="185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234"/>
        </w:trPr>
        <w:tc>
          <w:tcPr>
            <w:tcW w:w="8511" w:type="dxa"/>
            <w:gridSpan w:val="5"/>
          </w:tcPr>
          <w:p w:rsidR="001B5BD9" w:rsidRDefault="001B5BD9" w:rsidP="00946BFD">
            <w:pPr>
              <w:pStyle w:val="TableParagraph"/>
              <w:spacing w:line="185" w:lineRule="exact"/>
              <w:ind w:left="1384" w:right="1374"/>
              <w:jc w:val="center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pacing w:val="-1"/>
                <w:sz w:val="17"/>
              </w:rPr>
              <w:t>SUB-TOTAL</w:t>
            </w:r>
            <w:proofErr w:type="gramEnd"/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Produção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científica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(padronizado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0-10,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sendo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</w:t>
            </w:r>
            <w:r>
              <w:rPr>
                <w:rFonts w:ascii="Arial" w:hAnsi="Arial"/>
                <w:b/>
                <w:sz w:val="17"/>
              </w:rPr>
              <w:t>i</w:t>
            </w:r>
            <w:r>
              <w:rPr>
                <w:rFonts w:ascii="Arial" w:hAnsi="Arial"/>
                <w:b/>
                <w:sz w:val="17"/>
              </w:rPr>
              <w:t>or pontuação)</w:t>
            </w: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431"/>
        </w:trPr>
        <w:tc>
          <w:tcPr>
            <w:tcW w:w="726" w:type="dxa"/>
            <w:tcBorders>
              <w:bottom w:val="nil"/>
            </w:tcBorders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3.1.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Premiação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instituição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evento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científico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pesquisaefetuada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(até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2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pontos)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623"/>
        </w:trPr>
        <w:tc>
          <w:tcPr>
            <w:tcW w:w="726" w:type="dxa"/>
            <w:vMerge w:val="restart"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pStyle w:val="TableParagraph"/>
              <w:rPr>
                <w:sz w:val="18"/>
              </w:rPr>
            </w:pPr>
          </w:p>
          <w:p w:rsidR="001B5BD9" w:rsidRDefault="001B5BD9" w:rsidP="00946BFD">
            <w:pPr>
              <w:pStyle w:val="TableParagraph"/>
              <w:spacing w:before="6"/>
              <w:rPr>
                <w:sz w:val="17"/>
              </w:rPr>
            </w:pPr>
          </w:p>
          <w:p w:rsidR="001B5BD9" w:rsidRDefault="001B5BD9" w:rsidP="00946BFD">
            <w:pPr>
              <w:pStyle w:val="TableParagraph"/>
              <w:spacing w:before="1"/>
              <w:ind w:left="527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Experiência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acadêmica</w:t>
            </w: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37" w:lineRule="auto"/>
              <w:ind w:left="532" w:right="166" w:hanging="358"/>
              <w:jc w:val="both"/>
              <w:rPr>
                <w:sz w:val="17"/>
              </w:rPr>
            </w:pPr>
            <w:r>
              <w:rPr>
                <w:sz w:val="17"/>
              </w:rPr>
              <w:t>3.2. IC por quota ou PIBIC com ou sem bolsa por ano co</w:t>
            </w:r>
            <w:r>
              <w:rPr>
                <w:sz w:val="17"/>
              </w:rPr>
              <w:t>n</w:t>
            </w:r>
            <w:r>
              <w:rPr>
                <w:sz w:val="17"/>
              </w:rPr>
              <w:t>cluída com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aprovação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relatório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comprovada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outra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bolsa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pesquisa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aceita 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critério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comissão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1"/>
              <w:rPr>
                <w:sz w:val="16"/>
              </w:rPr>
            </w:pPr>
          </w:p>
          <w:p w:rsidR="001B5BD9" w:rsidRDefault="001B5BD9" w:rsidP="00946BFD">
            <w:pPr>
              <w:pStyle w:val="TableParagraph"/>
              <w:spacing w:before="1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431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3.3.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Participação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programas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mobilidade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acadêmica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oficiais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paísou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exterior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no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mínimo</w:t>
            </w:r>
            <w:r>
              <w:rPr>
                <w:spacing w:val="-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por</w:t>
            </w:r>
            <w:r>
              <w:rPr>
                <w:spacing w:val="-5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seis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meses</w:t>
            </w:r>
            <w:r>
              <w:rPr>
                <w:spacing w:val="-6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completos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433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37" w:lineRule="auto"/>
              <w:ind w:left="532" w:right="160" w:hanging="358"/>
              <w:rPr>
                <w:sz w:val="17"/>
              </w:rPr>
            </w:pPr>
            <w:r>
              <w:rPr>
                <w:sz w:val="17"/>
              </w:rPr>
              <w:t>3.5. Participação em Programa Institucional de Monitoria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graduação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por semestre</w:t>
            </w:r>
            <w:r>
              <w:rPr>
                <w:spacing w:val="-9"/>
                <w:sz w:val="17"/>
              </w:rPr>
              <w:t xml:space="preserve"> 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85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0,05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429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3.6.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Exercício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magistério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a</w:t>
            </w:r>
            <w:r>
              <w:rPr>
                <w:spacing w:val="-44"/>
                <w:sz w:val="17"/>
              </w:rPr>
              <w:t xml:space="preserve">              </w:t>
            </w:r>
            <w:r>
              <w:rPr>
                <w:sz w:val="17"/>
                <w:u w:val="single"/>
              </w:rPr>
              <w:t>cada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seis meses</w:t>
            </w:r>
            <w:r>
              <w:rPr>
                <w:spacing w:val="-2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completos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431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line="242" w:lineRule="auto"/>
              <w:ind w:left="532" w:right="432" w:hanging="358"/>
              <w:rPr>
                <w:sz w:val="17"/>
              </w:rPr>
            </w:pPr>
            <w:r>
              <w:rPr>
                <w:sz w:val="17"/>
              </w:rPr>
              <w:t>3.7.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Exercício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magistério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ensino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médio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e/ou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fu</w:t>
            </w:r>
            <w:r>
              <w:rPr>
                <w:sz w:val="17"/>
              </w:rPr>
              <w:t>n</w:t>
            </w:r>
            <w:r>
              <w:rPr>
                <w:sz w:val="17"/>
              </w:rPr>
              <w:t>damental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cada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seis meses</w:t>
            </w:r>
            <w:r>
              <w:rPr>
                <w:spacing w:val="-2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completos</w:t>
            </w:r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573"/>
        </w:trPr>
        <w:tc>
          <w:tcPr>
            <w:tcW w:w="726" w:type="dxa"/>
            <w:vMerge/>
            <w:tcBorders>
              <w:top w:val="nil"/>
              <w:left w:val="nil"/>
            </w:tcBorders>
            <w:textDirection w:val="btLr"/>
          </w:tcPr>
          <w:p w:rsidR="001B5BD9" w:rsidRDefault="001B5BD9" w:rsidP="00946BF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:rsidR="001B5BD9" w:rsidRDefault="001B5BD9" w:rsidP="00946BFD">
            <w:pPr>
              <w:pStyle w:val="TableParagraph"/>
              <w:spacing w:before="2" w:line="223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3.8.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Tempo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exercício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profissional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diretamente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relacion</w:t>
            </w:r>
            <w:r>
              <w:rPr>
                <w:sz w:val="17"/>
              </w:rPr>
              <w:t>a</w:t>
            </w:r>
            <w:r>
              <w:rPr>
                <w:sz w:val="17"/>
              </w:rPr>
              <w:t>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 xml:space="preserve">áreade concentração, excetuando magistério </w:t>
            </w:r>
            <w:r>
              <w:rPr>
                <w:sz w:val="17"/>
                <w:u w:val="single"/>
              </w:rPr>
              <w:t>a cada 12 meses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  <w:u w:val="single"/>
              </w:rPr>
              <w:t>completos</w:t>
            </w:r>
            <w:proofErr w:type="gramEnd"/>
          </w:p>
        </w:tc>
        <w:tc>
          <w:tcPr>
            <w:tcW w:w="1139" w:type="dxa"/>
          </w:tcPr>
          <w:p w:rsidR="001B5BD9" w:rsidRDefault="001B5BD9" w:rsidP="00946BFD">
            <w:pPr>
              <w:pStyle w:val="TableParagraph"/>
              <w:spacing w:before="85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0,25</w:t>
            </w:r>
          </w:p>
        </w:tc>
        <w:tc>
          <w:tcPr>
            <w:tcW w:w="551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239"/>
        </w:trPr>
        <w:tc>
          <w:tcPr>
            <w:tcW w:w="8511" w:type="dxa"/>
            <w:gridSpan w:val="5"/>
          </w:tcPr>
          <w:p w:rsidR="001B5BD9" w:rsidRDefault="001B5BD9" w:rsidP="00946BFD">
            <w:pPr>
              <w:pStyle w:val="TableParagraph"/>
              <w:spacing w:line="185" w:lineRule="exact"/>
              <w:ind w:left="1384" w:right="1380"/>
              <w:jc w:val="center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SUB-TOTAL</w:t>
            </w:r>
            <w:proofErr w:type="gramEnd"/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Experiência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acadêmica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(padronizado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0-10,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sendo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maior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pontuação)</w:t>
            </w: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5BD9" w:rsidTr="001B5BD9">
        <w:trPr>
          <w:trHeight w:val="234"/>
        </w:trPr>
        <w:tc>
          <w:tcPr>
            <w:tcW w:w="8511" w:type="dxa"/>
            <w:gridSpan w:val="5"/>
          </w:tcPr>
          <w:p w:rsidR="001B5BD9" w:rsidRDefault="001B5BD9" w:rsidP="00946BFD">
            <w:pPr>
              <w:pStyle w:val="TableParagraph"/>
              <w:spacing w:line="180" w:lineRule="exact"/>
              <w:ind w:right="1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2262" w:type="dxa"/>
          </w:tcPr>
          <w:p w:rsidR="001B5BD9" w:rsidRDefault="001B5BD9" w:rsidP="00946B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17623" w:rsidRDefault="001B5BD9" w:rsidP="001B5BD9">
      <w:pPr>
        <w:spacing w:after="60" w:line="288" w:lineRule="auto"/>
        <w:jc w:val="both"/>
      </w:pPr>
      <w:r>
        <w:rPr>
          <w:sz w:val="16"/>
          <w:szCs w:val="16"/>
        </w:rPr>
        <w:t>Somente serão considerados na análise os itens que contiverem as comprovações adicionadas a este anexo.</w:t>
      </w:r>
      <w:bookmarkStart w:id="0" w:name="_GoBack"/>
      <w:bookmarkEnd w:id="0"/>
    </w:p>
    <w:sectPr w:rsidR="00517623" w:rsidSect="001B5BD9">
      <w:headerReference w:type="default" r:id="rId5"/>
      <w:footerReference w:type="default" r:id="rId6"/>
      <w:pgSz w:w="11906" w:h="16838"/>
      <w:pgMar w:top="2835" w:right="1440" w:bottom="993" w:left="993" w:header="2551" w:footer="567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5A" w:rsidRDefault="001B5BD9">
    <w:pPr>
      <w:pStyle w:val="Rodap"/>
      <w:suppressAutoHyphens/>
      <w:jc w:val="cen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PPGDIBICT – ICBS – UFAL – Campus A. C. Simões - Av. Lourival Melo Mota, S/N – Tabuleiro dos Martins – Maceió – AL – CEP: 57072-900 – E-mail: ppgdibict@icbs.ufal.br – Telefone: 82 3214 </w:t>
    </w:r>
    <w:proofErr w:type="gramStart"/>
    <w:r>
      <w:rPr>
        <w:rFonts w:ascii="Gill Sans MT" w:hAnsi="Gill Sans MT"/>
        <w:sz w:val="20"/>
        <w:szCs w:val="20"/>
      </w:rPr>
      <w:t>1681</w:t>
    </w:r>
    <w:proofErr w:type="gramEnd"/>
    <w:r>
      <w:rPr>
        <w:rFonts w:ascii="Gill Sans MT" w:hAnsi="Gill Sans MT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5A" w:rsidRDefault="001B5BD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083772D" wp14:editId="4E7FA900">
          <wp:simplePos x="0" y="0"/>
          <wp:positionH relativeFrom="column">
            <wp:posOffset>3467100</wp:posOffset>
          </wp:positionH>
          <wp:positionV relativeFrom="paragraph">
            <wp:posOffset>-815340</wp:posOffset>
          </wp:positionV>
          <wp:extent cx="1157605" cy="655320"/>
          <wp:effectExtent l="0" t="0" r="0" b="0"/>
          <wp:wrapThrough wrapText="bothSides">
            <wp:wrapPolygon edited="0">
              <wp:start x="3910" y="628"/>
              <wp:lineTo x="1777" y="6907"/>
              <wp:lineTo x="1066" y="10047"/>
              <wp:lineTo x="1777" y="14442"/>
              <wp:lineTo x="5332" y="19465"/>
              <wp:lineTo x="7465" y="20721"/>
              <wp:lineTo x="9242" y="20721"/>
              <wp:lineTo x="14929" y="19465"/>
              <wp:lineTo x="19906" y="15698"/>
              <wp:lineTo x="20261" y="5651"/>
              <wp:lineTo x="17417" y="3140"/>
              <wp:lineTo x="6043" y="628"/>
              <wp:lineTo x="3910" y="628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BI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251659264" behindDoc="1" locked="0" layoutInCell="0" allowOverlap="1" wp14:anchorId="128352ED" wp14:editId="5310F895">
          <wp:simplePos x="0" y="0"/>
          <wp:positionH relativeFrom="page">
            <wp:posOffset>5760085</wp:posOffset>
          </wp:positionH>
          <wp:positionV relativeFrom="page">
            <wp:posOffset>360045</wp:posOffset>
          </wp:positionV>
          <wp:extent cx="1440180" cy="144018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D9"/>
    <w:rsid w:val="00074206"/>
    <w:rsid w:val="001B5BD9"/>
    <w:rsid w:val="00363939"/>
    <w:rsid w:val="00517623"/>
    <w:rsid w:val="0071556E"/>
    <w:rsid w:val="00E21463"/>
    <w:rsid w:val="00E3075F"/>
    <w:rsid w:val="00E71991"/>
    <w:rsid w:val="00F25EDC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5BD9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1B5BD9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rsid w:val="001B5BD9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rsid w:val="001B5BD9"/>
    <w:rPr>
      <w:rFonts w:ascii="Calibri" w:eastAsia="Calibri" w:hAnsi="Calibri" w:cs="Times New Roman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B5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5BD9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5BD9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1B5BD9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rsid w:val="001B5BD9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RodapChar">
    <w:name w:val="Rodapé Char"/>
    <w:basedOn w:val="Fontepargpadro"/>
    <w:link w:val="Rodap"/>
    <w:rsid w:val="001B5BD9"/>
    <w:rPr>
      <w:rFonts w:ascii="Calibri" w:eastAsia="Calibri" w:hAnsi="Calibri" w:cs="Times New Roman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1B5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5BD9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DIBICT</dc:creator>
  <cp:lastModifiedBy>DIBICT</cp:lastModifiedBy>
  <cp:revision>1</cp:revision>
  <dcterms:created xsi:type="dcterms:W3CDTF">2024-03-13T12:52:00Z</dcterms:created>
  <dcterms:modified xsi:type="dcterms:W3CDTF">2024-03-13T12:53:00Z</dcterms:modified>
</cp:coreProperties>
</file>